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4 vom 30. März 2022</w:t>
      </w:r>
    </w:p>
    <w:p>
      <w:r>
        <w:t>VS Kantonsgericht, 2022-03-30, FR</w:t>
      </w:r>
    </w:p>
    <w:p>
      <w:r>
        <w:rPr>
          <w:b/>
        </w:rPr>
        <w:t xml:space="preserve">Quelle: </w:t>
      </w:r>
      <w:r>
        <w:t>https://mcp.opencaselaw.ch/entscheid/vs_gerichte_S2 20 4</w:t>
      </w:r>
    </w:p>
    <w:p>
      <w:r>
        <w:t>FR: VS_GERICHTE S2 20 4 du 30 mars 2022</w:t>
      </w:r>
    </w:p>
    <w:p>
      <w:r>
        <w:t>IT: VS_GERICHTE S2 20 4 del 30 marzo 2022</w:t>
      </w:r>
    </w:p>
    <w:p>
      <w:pPr>
        <w:pStyle w:val="Heading2"/>
      </w:pPr>
      <w:r>
        <w:t>Regeste</w:t>
      </w:r>
    </w:p>
    <w:p>
      <w:r>
        <w:t>S2 20 4 JUGEMENT DU 30 MARS 2022 Tribunal cantonal du Valais Cour des assurances sociales Composition : Candido Prada, président ; Thomas Brunner et Christophe Joris, juges ; Simon Hausammann, greffier en la cause X _________, recourant, représenté par AXA-ARAG, protection juridique, 8050 Zurich contre CAISSE NATIONALE SUISSE D'ASSURANCE EN CAS D'ACCIDENTS (CNA), 6002 Lucerne, intimée (art. 4 LPGA et 6 LAA ; notion d’accident et lien de causalité)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15 janvier 2020, le présent recours contre la décision sur opposition du</w:t>
      </w:r>
    </w:p>
    <w:p>
      <w:r>
        <w:rPr>
          <w:b/>
        </w:rPr>
        <w:t>E. 2</w:t>
      </w:r>
    </w:p>
    <w:p>
      <w:r>
        <w:t>Dans un premier grief, le recourant reproche à la CNA de ne pas avoir retenu que l’évènement 5 septembre 2019 était constitutif d'un accident au sens de l'article 4 LPGA.</w:t>
      </w:r>
    </w:p>
    <w:p>
      <w:r>
        <w:rPr>
          <w:b/>
        </w:rPr>
        <w:t>E. 2.1</w:t>
      </w:r>
    </w:p>
    <w:p>
      <w:r>
        <w:t>L'assurance-accidents est en principe tenue d'allouer ses prestations en cas d'accident professionnel ou non professionnel (art. 6 al. 1 LAA).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w:t>
      </w:r>
    </w:p>
    <w:p>
      <w:r>
        <w:t>- 6 -</w:t>
      </w:r>
    </w:p>
    <w:p>
      <w:r>
        <w:rPr>
          <w:b/>
        </w:rPr>
        <w:t>E. 2.1.1</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précité et les références). Ainsi,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 et arrêt 8C_815/2016 du 14 mars 2017 consid. 4.2).</w:t>
      </w:r>
    </w:p>
    <w:p>
      <w:r>
        <w:rPr>
          <w:b/>
        </w:rPr>
        <w:t>E. 2.1.2</w:t>
      </w:r>
    </w:p>
    <w:p>
      <w:r>
        <w:t>Pour des lésions dues à l'effort (soulèvement, déplacement de charges notamment), il faut examiner de cas en cas si l'effort doit être considéré comme extraordinaire, en tenant compte de la constitution physique et des habitudes professionnelles ou autres de l'intéressé (arrêts arrêt 8C_395/2020 du 28 septembre 2020 consid. 2.2 et 4.2 et 8C_292/2014 du 18 août 2014 consid. 5.1 et la référence). Concernant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dans le sens d’une modification entre le corps et l'environnement extérieur, constitue alors en même temps le facteur extraordinaire en raison du déroulement non programmé du mouvement (ATF 130 V 117 consid. 2.1 ; arrêt 8C_586/2020 du 30 novembre 2020 consid. 3.3).</w:t>
      </w:r>
    </w:p>
    <w:p>
      <w:r>
        <w:t>- 7 -</w:t>
      </w:r>
    </w:p>
    <w:p>
      <w:r>
        <w:rPr>
          <w:b/>
        </w:rPr>
        <w:t>E. 2.1.3</w:t>
      </w:r>
    </w:p>
    <w:p>
      <w:r>
        <w:t>En cas de certaines atteintes à la santé qui peuvent, selon l’expérience, également survenir en tant qu’uniques conséquences de maladies, soit en tant que modifications préexistantes dégénératives d’une partie du corps dans le cadre d’une évolution normale, le caractère extraordinaire doit être donné de manière très claire et l’atteinte survenir dans des circonstances particulièrement évidentes. Il en va de même pour des traumatismes internes au corps, c’est-à-dire pour des atteintes consécutives à une force provenant du corps lui-même. La cause directe de l’atteinte doit alors consister en un effort particulièrement accentué ou s’être manifestée dans des circonstances d’une certaine importance. Le facteur extraordinaire doit être admis lorsqu’en soulevant ou en déplaçant une charge, la personne concernée déploie une force bien supérieure à ce qu’elle a coutume de fournir et se blesse. Si la jurisprudence prend en considération les habitudes professionnelles d'une personne qui prétend des prestations d'assurance, elle le fait avant tout dans le cadre des lésions dues à des efforts (soulèvements et déplacements de charge notamment) pour examiner si l'effort doit être considéré comme extraordinaire (arrêts 8C_395/2020 précité consid. 2.2 et 4.2 ainsi que les références et 8C_628/2016 du 13 juin 2017 consid. 3 et 4.2 ainsi que les références, notamment à l’arrêt 8C_194/2015 du 11 août 2015 consid. 3).</w:t>
      </w:r>
    </w:p>
    <w:p>
      <w:r>
        <w:rPr>
          <w:b/>
        </w:rPr>
        <w:t>E. 2.2</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 121 V 45 consid. 2a et les références).</w:t>
      </w:r>
    </w:p>
    <w:p>
      <w:r>
        <w:rPr>
          <w:b/>
        </w:rPr>
        <w:t>E. 2.3</w:t>
      </w:r>
    </w:p>
    <w:p>
      <w:r>
        <w:t>En l’occurrence, aussi bien dans le formulaire de déclaration de sinistre du</w:t>
      </w:r>
    </w:p>
    <w:p>
      <w:r>
        <w:rPr>
          <w:b/>
        </w:rPr>
        <w:t>E. 6</w:t>
      </w:r>
    </w:p>
    <w:p>
      <w:r>
        <w:t>septembre 2019 que dans le courrier du recourant du 10 octobre suivant, il est fait mention que X _________ a marché sur un caillou se trouvant sur le chemin ce qui lui a tordu le genou et provoqué un claquement suivi d’une intense douleur. Dans le questionnaire du 12 septembre 2019, le recourant a mentionné qu’une pierre qui se trouvait au milieu du chemin lui avait provoqué des douleurs immédiates. Cela étant, la description de l’évènement fait manifestement apparaître la présence d’un facteur extérieur et extraordinaire. Les termes de caillou et de pierre ont été, au demeurant, vraisemblablement employés comme synonymes par le recourant.</w:t>
      </w:r>
    </w:p>
    <w:p>
      <w:r>
        <w:t>- 8 - Le caillou sur lequel a marché l’intéressé a ainsi provoqué une torsion de son genou droit, ce qui répond à la définition de mouvement non coordonné. En effet, au degré de la vraisemblance prépondérante, il ressort du dossier que le mouvement normal de son corps a été interrompu par la présence d’une pierre qui se trouvait sur le chemin et qu’il n’a vraisemblablement pas aperçue en raison de la table qu’il transportait. Dans cette mesure, le fait de marcher puis glisser sur un caillou, ou de buter contre celui-ci, a provoqué une modification entre son corps et l’environnement extérieur. La torsion qui en est découlée est dès lors apparue en raison d’un facteur extérieur et extraordinaire. L’évènement s’est en outre produit à l’arrêt dit « F _________ » du funiculaire en provenance de « G _________ » sis sur la localité de H _________, soit un lieu en altitude dans un terrain montagneux. Par ailleurs, le recourant a immédiatement été consulter un médecin proche du lieu de l’évènement (le Dr B _________ à I _________) qui lui a délivré le même jour un certificat d’incapacité de travail pour cause d’accident, ce qui démontre bien l’intensité des douleurs qui a nécessité une intervention immédiate. Pour ces raisons, il est difficile pour l’intimée de soutenir que l’évènement était tout à fait banal. Transporter une table sur un terrain montagneux puis glisser sur un caillou ou le heurter en raison d’une visibilité probablement diminuée par cette table et souffrir d’une torsion du genou, n’a en effet rien d’une activité habituelle et quotidienne. Ensuite, le fait que le recourant était responsable technique auprès de A _________ SA et qu’il était ainsi souvent amené à porter des charges similaires n’est en l’espèce pas pertinent pour nier ou admettre l’existence d’un accident. Si la jurisprudence prend en considération les habitudes professionnelles d'une personne qui sollicite des prestations d'assurance, elle le fait avant tout dans le cadre des lésions dues à des efforts (soulèvement et déplacement de charges notamment) pour examiner si l'effort doit être considéré comme extraordinaire (cf. supra consid. 2.1.2). Or, dans le cas d’espèce, la lésion subie par le recourant n’a pas trouvé son origine dans les efforts qu’il a déployés pour transporter la table, mais au contraire dans le mouvement inattendu qu’il a dû réaliser avec sa jambe droite lorsqu’elle a glissé sur un caillou ou heurté celui-ci, soit un mouvement corporel non programmé. L’évènement en question a ainsi bien été provoqué par un phénomène extérieur qui a modifié de manière anormale le déroulement naturel du mouvement de la jambe du recourant (arrêt 8C_404/2020 du</w:t>
      </w:r>
    </w:p>
    <w:p>
      <w:r>
        <w:rPr>
          <w:b/>
        </w:rPr>
        <w:t>E. 11</w:t>
      </w:r>
    </w:p>
    <w:p>
      <w:r>
        <w:t>juin 2021 consid. 5.3). La casuistique du Tribunal fédéral citée par l’intimée qui concerne des lésions provoquées directement par les efforts des assurés, n’est partant aucunement pertinente dans le cas d’espèce. Dans l’arrêt cité 8C_726/2009 du 30 avril 2010, la situation était néanmoins quelque peu différente, dans la mesure où un infirmier s’était blessé aux cervicales, non pas en raison d’un effort excessif mais en raison d’un</w:t>
      </w:r>
    </w:p>
    <w:p>
      <w:r>
        <w:t>- 9 - mouvement de torsion brusque pour retenir un patient sur le point de choir. Dans ce cas, le Tribunal fédéral a alors admis la présence d’un facteur extérieur, mais a cependant considéré que la rotation effectuée dans la précipitation par l'assuré pour retenir la patiente sur le point de choir n'était pas inhabituelle pour un infirmier, si bien que le caractère extraordinaire faisait défaut pour retenir un accident (consid. 5). En l’état, cette jurisprudence n’est pas plus applicable dans le cas d’espèce que les autres, attendu que le recourant, en transportant une table pour l’organisation d’une manifestation, n’était pas dans une situation comparable à celle d’un infirmer dont l’activité consiste en l’accompagnement des patients, notamment en leur évitant de chuter. Comme déjà dit, il ne relève en effet pas de son activité habituelle de se rattraper de mouvements inattendus en transportant des tables afin d’éviter une blessure. Par ailleurs, les déclarations de l’assuré n’ont en substance pas été modifiées tout au long de la procédure, contrairement à ce que soutient l’intimée. Si une description plus détaillée a été fournie par son mandataire au stade de l’opposition, il n’en demeure pas moins qu’on ne saurait la déclarer de contradictoire aux premières explications du recourant. En effet, dans le questionnaire du 12 septembre 2019 et dans son courrier du 10 octobre suivant, celui-ci indiquait déjà avoir marché sur une pierre ou un caillou qui lui avait tordu le genou. Il a en particulier coché la case oui relative à la question « S’est- il produit quelque chose de particulier (glissade, chute, etc.) ? », si bien qu’il est difficile de suivre l’intimée lorsqu’elle avance que le recourant n’aurait jamais indiqué avoir glissé ou chuté. Cela étant, confrontée à ce formulaire effectivement relativement laconique, si la CNA avait encore un doute ou estimait que les informations fournies n’étaient pas suffisantes, il lui revenait d’instruire plus sur ce point, ce qu’elle n’a cependant pas fait. En tout état de cause, ces indications sommaires du recourant se recoupent de toute manière largement avec la déclaration de mouvement incontrôlé, non coordonné et nécessitant un geste réflexe ressortant de son opposition et recours. Dans cette mesure, la CNA ne peut pas reprocher au recourant d’avoir compléter ses explications dans le cadre de son opposition et il convient de se baser sur celles-ci. Dans ces conditions, il n’y pas lieu de mettre en doute les explications du recourant sur le déroulement des faits. La Cour considère dès lors qu’en marchant sur un caillou, ce dernier a été victime d’un changement de position corporelle de manière incontrôlée et sous l’influence d’un phénomène extérieur, ce qui a provoqué une sollicitation plus élevée que la normale de son organisme. Il convient par conséquence de conclure à l’existence d’une cause extérieure extraordinaire à l’origine des douleurs au genou droit annoncées par le recourant.</w:t>
      </w:r>
    </w:p>
    <w:p>
      <w:r>
        <w:t>- 10 - 3. Les autres conditions constitutives d’un accident sont manifestement réalisées dans le cas d’espèce. Il convient dès lors d’examiner, dans un second temps, s’il existe un lien de causalité entre les douleurs présentées au genou droit et l’accident du 5 septembre 2019. 3.1.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l'article 4 LPGA et que l'assuré souffrait d'une lésion corporelle au sens de l'article 6 alinéa 2 LAA. Il a admis que dans cette hypothèse, l'assureur-accidents devait prendre en charge les suites de la lésion en cause sur la base de l'article 6 alinéa 1 LAA. En revanche, en l'absence d'un accident au sens juridique, le cas devait être examiné sous l'angle de l'article 6 alinéa 2 LAA (ATF 146 V 51 consid. 9.1). En l’occurrence, il a été arrêté aux considérants 2 que la CNA aurait dû reconnaître l’existence d’un accident au sens juridique. Il s’impose dès lors d’examiner sous l’angle de l’article 6 alinéa 1 LAA si la CNA doit prendre en charge les suites de la lésion au genou droit du recourant. 3.2.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w:t>
      </w:r>
    </w:p>
    <w:p>
      <w:r>
        <w:t>- 11 -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t>- 12 - 3.3.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C-6844/2011 du 5 juin 2013 consid. 7.1). Savoir si l'événement assuré et l'atteinte en question sont liés par un rapport de causalité naturelle est une question de fait que l'administration, ou le cas échéant le juge, examine en se fondant essentiellement sur des renseignements d'ordre médical (ATF 142 V 435 consid. 1 et les références citées). Selon la jurisprudence,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p. 470).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p. 469 et les références citées). 3.4. Dans le cas d’espèce, le Dr D _________ a estimé que le bilan IRM avait principalement mis en évidence un contexte dégénératif touchant le compartiment fémoro-tibial interne. Il a également nié la présence d’une lésion assimilée à un accident au sens de l’article 6 alinéa 2 LAA. De son côté, le Dr B _________ a affirmé que l’on était en présence d’un traumatisme ayant provoqué une atteinte au ménisque interne.</w:t>
      </w:r>
    </w:p>
    <w:p>
      <w:r>
        <w:t>- 13 - Le recourant a indiqué n’avoir jamais ressenti des douleurs avant son accident et que de surcroît, ses douleurs avaient disparu depuis qu’il a subi une arthroscopie à la J _________ le 30 octobre 2019. Il n’a cependant fourni aucune pièce y relative. Enfin, la radiographie du 10 septembre 2019 avait, quant à elle, mis en évidence différentes atteintes avec une origine apparemment dégénérative (atteinte dégénérative du ménisque interne avec fissuration dans le tiers moyen et la corne postérieure, sans fragment libre), ainsi que d’autres lésions dont l’origine traumatique ou dégénérative n’a pas été précisée (chondropathie de grade III du condyle fémoral interne en zone de charge d’extension et de grade II de la rotule dans sa partie inférieure et centrale ; enthésopathie chronique du tendon quadricipital sur la rotule avec un enthésophyte, sans déchirure ; épanchement articulaire, kyste de Baker partiellement rompu et œdème de la graisse de Hoffa). Aucun autre avis médical ne figure au dossier. Sur la base de ces éléments, force est de constater que les pièces médicales au dossier ne permettent pas à la Cour de céans de trancher l’origine médicale de l’ensemble des atteintes dont souffre le recourant à son genou droit. Si les conclusions de l’IRM laissent à premier abord plutôt supposer des lésions dégénératives, aucun spécialiste n’a clairement exclu une cause également traumatique de ces atteintes. L’avis du médecin d’arrondissement, selon lequel les lésions seraient de manière prépondérante dues à une origine maladive, n’est d’ailleurs aucunement étayé sur le plan médical. Or, il revient à l’intimé d’apporter la preuve de l’absence de lien de causalité entre la lésion et l’accident du 5 septembre 2019. L’avis très laconique du Dr D _________ du 7 novembre 2019 n’est à cet égard aucunement suffisant, ce d’autant plus qu’il avait admis dans un premier temps la présence d’une lésions corporelle assimilée à un accident. Par ailleurs, dans son avis du 30 octobre 2019, ce médecin d’arrondissement n’a implicitement pas exclu que l’atteinte pouvait avoir une cause partielle traumatologique (« le bilan par IRM ne met pas en évidence de déchirure méniscale, mais montre surtout un contexte dégénératif » ; « le bilan par IRM révèle avant tout des lésions qui prédominent au niveau du compartiment fémoro-tibial interne […] »). De son côté, le Dr B _________ mentionne une cause traumatique des atteintes subies par son patient. Dans cette mesure, le dossier ne permet en l’état pas de trancher la question d’un lien de causalité entre la lésion du genou droit et l’accident du 5 septembre 2019. Force est en effet de constater que des doutes subsistent sur la validité des constatations du médecin d’arrondissement et que ce dernier, qui n’a de surcroît pas personnellement examiné le recourant, avait limité son analyse à l’existence de lésions corporelles assimilées à un accident au sens de l’article 6 alinéa 2 LAA. S’il venait par ailleurs à être</w:t>
      </w:r>
    </w:p>
    <w:p>
      <w:r>
        <w:t>- 14 - retenu que l’accident du 5 septembre 2019 n’avait qu’aggravé temporairement un état maladif préexistant, il reviendra également à l’intimée de récolter un avis médical motivé permettant de déterminer à quel moment le recourant avait retrouvé son état de santé qui existait immédiatement avant l’accident. Il s'impose donc de renvoyer la cause à la CNA pour qu'elle mette en œuvre une expertise médicale au sens de l'article 44 LPGA afin que l’expert désigné se détermine de manière claire et convaincante sur l’existence d’un lien de causalité entre les lésions au genou droit du recourant et l’accident du 5 septembre 2019 et, le cas échéant, sur le statu quo sine vel ante (cf. dans ce sens arrêts 8C_13/2021 du 6 septembre 2021 consid. 3.4 ; 8C_382/2020 du 3 décembre 2020 consid. 6.3 et 6.4 ; 8C_618/2019 du 18 février 2020 consid. 8.2 ; 8C_267/2019 du 30 octobre 2019 consid. 7.2.2). Le recours doit par conséquent être admis et la décision du 2 décembre 2019 annulée. 4. La procédure étant gratuite, il n’est pas perçu de frais (art. 61 let. a aLPGA et 83 LPGA). 5.1.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Le recourant, qui obtient gain de cause, a droit à des dépens, qui seront supportés par l’intimé (art. 81bis al. 2 et 91 al. 1 et 2 a contrario LPJA ; art. 27 al. 1 et 40 al. 1 LTar). Les frais d’un conseil juridique comprennent les honoraires, calculés selon les articles 27 et suivants de la présente loi, auxquels s’ajoutent les débours (art. 4 al. 3 LTar). Les dépens sont arrêtés forfaitairement entre 550 et 11 000 fr., TVA comprise (art. 27 al. 5 et 40 al. 1 LTar). Conformément à la jurisprudence fédérale, il n'est pas arbitraire d’indemniser distinctement les avocats employés auprès d'associations, de syndicats ou d’assurances de protection juridique, d'une part, et les avocats exerçant leur métier en profession libérale, d'autre part (ATF 126 V 11 consid. 2 et 120 Ia 169 consid. 3a, arrêts 9C_688/2009 du 19 novembre 2009 et 9C_600/2007 du 12 janvier 2009 ; SVR 1999 IV Nr. 28 consid. 4c, 4d et 4e). 5.2. Dans le cas d’espèce, la protection juridique qui a représenté X _________ a produit un recours de quatre pages succinctement motivé puis deux courriers. Au vu des critères précités, de l’activité utile déployée par le mandataire du recourant, de la teneur des pièces de procédure déposées, de la complexité moyenne de l’affaire et du dossier peu</w:t>
      </w:r>
    </w:p>
    <w:p>
      <w:r>
        <w:t>- 15 - volumineux, la Cour fixe des dépens réduits à un montant arrondi de 750 francs, débours et TVA compris.</w:t>
      </w:r>
    </w:p>
    <w:p>
      <w:r>
        <w:t>Prononce</w:t>
      </w:r>
    </w:p>
    <w:p>
      <w:r>
        <w:t>1. Le recours est admis. La décision du 2 décembre 2019 est annulée et le dossier est renvoyé à la Caisse nationale suisse d’assurance en cas d’accidents pour instruction médicale complémentaire au sens du considérant 3.4. 2. Il n'est pas perçu de frais. 3. La Caisse nationale suisse d’assurance en cas d’accidents versera à X _________ une indemnité de 750 francs pour ses dépens.</w:t>
      </w:r>
    </w:p>
    <w:p>
      <w:r>
        <w:t>Sion, le 30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